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AEB5" w14:textId="5685C63F" w:rsidR="00F511B2" w:rsidRPr="00852CB7" w:rsidRDefault="00736F75" w:rsidP="00F511B2">
      <w:pPr>
        <w:pStyle w:val="NormalWeb"/>
        <w:rPr>
          <w:color w:val="000000"/>
          <w:sz w:val="28"/>
          <w:szCs w:val="28"/>
        </w:rPr>
      </w:pPr>
      <w:r>
        <w:rPr>
          <w:color w:val="000000"/>
          <w:sz w:val="28"/>
          <w:szCs w:val="28"/>
        </w:rPr>
        <w:t xml:space="preserve">1. </w:t>
      </w:r>
      <w:r w:rsidR="00F511B2" w:rsidRPr="00852CB7">
        <w:rPr>
          <w:color w:val="000000"/>
          <w:sz w:val="28"/>
          <w:szCs w:val="28"/>
        </w:rPr>
        <w:t>Briefing Paper – Health Committee</w:t>
      </w:r>
      <w:r w:rsidR="00BC00AB">
        <w:rPr>
          <w:noProof/>
          <w:color w:val="000000"/>
          <w:sz w:val="28"/>
          <w:szCs w:val="28"/>
          <w14:ligatures w14:val="standardContextual"/>
        </w:rPr>
        <w:drawing>
          <wp:anchor distT="0" distB="0" distL="114300" distR="114300" simplePos="0" relativeHeight="251658240" behindDoc="0" locked="0" layoutInCell="1" allowOverlap="1" wp14:anchorId="651343D0" wp14:editId="4182EA80">
            <wp:simplePos x="0" y="0"/>
            <wp:positionH relativeFrom="margin">
              <wp:align>right</wp:align>
            </wp:positionH>
            <wp:positionV relativeFrom="margin">
              <wp:align>top</wp:align>
            </wp:positionV>
            <wp:extent cx="1911350" cy="1828800"/>
            <wp:effectExtent l="0" t="0" r="0" b="0"/>
            <wp:wrapSquare wrapText="bothSides"/>
            <wp:docPr id="1219816735" name="Picture 1" descr="A logo with a shield and unico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16735" name="Picture 1" descr="A logo with a shield and unicor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1350" cy="1828800"/>
                    </a:xfrm>
                    <a:prstGeom prst="rect">
                      <a:avLst/>
                    </a:prstGeom>
                  </pic:spPr>
                </pic:pic>
              </a:graphicData>
            </a:graphic>
            <wp14:sizeRelH relativeFrom="page">
              <wp14:pctWidth>0</wp14:pctWidth>
            </wp14:sizeRelH>
            <wp14:sizeRelV relativeFrom="page">
              <wp14:pctHeight>0</wp14:pctHeight>
            </wp14:sizeRelV>
          </wp:anchor>
        </w:drawing>
      </w:r>
    </w:p>
    <w:p w14:paraId="604F56C7" w14:textId="26BE9363" w:rsidR="00F511B2" w:rsidRPr="007C2453" w:rsidRDefault="00F511B2" w:rsidP="00F511B2">
      <w:pPr>
        <w:spacing w:line="240" w:lineRule="auto"/>
        <w:rPr>
          <w:rFonts w:ascii="Times New Roman" w:hAnsi="Times New Roman" w:cs="Times New Roman"/>
          <w:b/>
          <w:bCs/>
          <w:sz w:val="24"/>
          <w:szCs w:val="24"/>
        </w:rPr>
      </w:pPr>
      <w:r w:rsidRPr="00852CB7">
        <w:rPr>
          <w:rFonts w:ascii="Times New Roman" w:hAnsi="Times New Roman" w:cs="Times New Roman"/>
          <w:sz w:val="24"/>
          <w:szCs w:val="24"/>
        </w:rPr>
        <w:t>Topic</w:t>
      </w:r>
      <w:r>
        <w:rPr>
          <w:rFonts w:ascii="Times New Roman" w:hAnsi="Times New Roman" w:cs="Times New Roman"/>
          <w:sz w:val="24"/>
          <w:szCs w:val="24"/>
        </w:rPr>
        <w:t xml:space="preserve">: </w:t>
      </w:r>
      <w:r w:rsidR="00BC00AB" w:rsidRPr="00BC00AB">
        <w:rPr>
          <w:rFonts w:ascii="Times New Roman" w:hAnsi="Times New Roman" w:cs="Times New Roman"/>
          <w:b/>
          <w:bCs/>
          <w:sz w:val="24"/>
          <w:szCs w:val="24"/>
        </w:rPr>
        <w:t>The issue of</w:t>
      </w:r>
      <w:r w:rsidR="00BC00AB">
        <w:rPr>
          <w:rFonts w:ascii="Times New Roman" w:hAnsi="Times New Roman" w:cs="Times New Roman"/>
          <w:sz w:val="24"/>
          <w:szCs w:val="24"/>
        </w:rPr>
        <w:t xml:space="preserve"> </w:t>
      </w:r>
      <w:r w:rsidRPr="00E31332">
        <w:rPr>
          <w:rFonts w:ascii="Times New Roman" w:hAnsi="Times New Roman" w:cs="Times New Roman"/>
          <w:b/>
          <w:bCs/>
          <w:sz w:val="24"/>
          <w:szCs w:val="24"/>
        </w:rPr>
        <w:t>Bio preparedness and Biosecurity Measures</w:t>
      </w:r>
      <w:r w:rsidRPr="007C2453">
        <w:rPr>
          <w:rFonts w:ascii="Roboto" w:hAnsi="Roboto"/>
          <w:b/>
          <w:bCs/>
          <w:color w:val="71777D"/>
          <w:sz w:val="21"/>
          <w:szCs w:val="21"/>
          <w:shd w:val="clear" w:color="auto" w:fill="FFFFFF"/>
        </w:rPr>
        <w:t>–</w:t>
      </w:r>
      <w:r w:rsidRPr="007C2453">
        <w:rPr>
          <w:rFonts w:ascii="Times New Roman" w:hAnsi="Times New Roman" w:cs="Times New Roman"/>
          <w:b/>
          <w:bCs/>
          <w:sz w:val="24"/>
          <w:szCs w:val="24"/>
        </w:rPr>
        <w:t xml:space="preserve"> examining policies and practices to prevent the misuse of dangerous biological agents and to enhance the security of laboratories and research facilities</w:t>
      </w:r>
    </w:p>
    <w:p w14:paraId="5EC10867" w14:textId="77777777" w:rsidR="00F511B2" w:rsidRDefault="00F511B2" w:rsidP="00F511B2">
      <w:pPr>
        <w:rPr>
          <w:rFonts w:ascii="Times New Roman" w:hAnsi="Times New Roman" w:cs="Times New Roman"/>
          <w:sz w:val="24"/>
          <w:szCs w:val="24"/>
          <w:u w:val="single"/>
        </w:rPr>
      </w:pPr>
      <w:r w:rsidRPr="0079593D">
        <w:rPr>
          <w:rFonts w:ascii="Times New Roman" w:hAnsi="Times New Roman" w:cs="Times New Roman"/>
          <w:sz w:val="24"/>
          <w:szCs w:val="24"/>
          <w:u w:val="single"/>
        </w:rPr>
        <w:t>Background information:</w:t>
      </w:r>
    </w:p>
    <w:p w14:paraId="2E6C37C7" w14:textId="77777777" w:rsidR="00F511B2" w:rsidRDefault="00F511B2" w:rsidP="00F511B2">
      <w:pPr>
        <w:rPr>
          <w:rFonts w:ascii="Times New Roman" w:hAnsi="Times New Roman" w:cs="Times New Roman"/>
          <w:sz w:val="24"/>
          <w:szCs w:val="24"/>
        </w:rPr>
      </w:pPr>
      <w:r w:rsidRPr="00B550CC">
        <w:rPr>
          <w:rFonts w:ascii="Times New Roman" w:hAnsi="Times New Roman" w:cs="Times New Roman"/>
          <w:sz w:val="24"/>
          <w:szCs w:val="24"/>
        </w:rPr>
        <w:t>Recent global health crises, such as the COVID-19 pandemic</w:t>
      </w:r>
      <w:r>
        <w:rPr>
          <w:rFonts w:ascii="Times New Roman" w:hAnsi="Times New Roman" w:cs="Times New Roman"/>
          <w:sz w:val="24"/>
          <w:szCs w:val="24"/>
        </w:rPr>
        <w:t xml:space="preserve">, </w:t>
      </w:r>
      <w:r w:rsidRPr="00D46DB2">
        <w:rPr>
          <w:rFonts w:ascii="Times New Roman" w:hAnsi="Times New Roman" w:cs="Times New Roman"/>
          <w:sz w:val="24"/>
          <w:szCs w:val="24"/>
        </w:rPr>
        <w:t>Ebola, and Zika</w:t>
      </w:r>
      <w:r w:rsidRPr="00B550CC">
        <w:rPr>
          <w:rFonts w:ascii="Times New Roman" w:hAnsi="Times New Roman" w:cs="Times New Roman"/>
          <w:sz w:val="24"/>
          <w:szCs w:val="24"/>
        </w:rPr>
        <w:t>, have exposed vulnerabilities in global pandemic preparedness. The ability to detect and respond to emerging infectious diseases and pandemics is intricately linked to bio preparedness and biosecurity.</w:t>
      </w:r>
      <w:r>
        <w:rPr>
          <w:rFonts w:ascii="Times New Roman" w:hAnsi="Times New Roman" w:cs="Times New Roman"/>
          <w:sz w:val="24"/>
          <w:szCs w:val="24"/>
        </w:rPr>
        <w:t xml:space="preserve"> </w:t>
      </w:r>
      <w:r w:rsidRPr="00F25FF9">
        <w:rPr>
          <w:rFonts w:ascii="Times New Roman" w:hAnsi="Times New Roman" w:cs="Times New Roman"/>
          <w:sz w:val="24"/>
          <w:szCs w:val="24"/>
        </w:rPr>
        <w:t>The potential use of biological agents by terrorists presents a grave security threat. Biosecurity measures are crucial to prevent the misuse of these agents for acts of bioterrorism, which could have catastrophic consequences.</w:t>
      </w:r>
    </w:p>
    <w:p w14:paraId="08A49767" w14:textId="77777777" w:rsidR="00F511B2" w:rsidRPr="00B550CC" w:rsidRDefault="00F511B2" w:rsidP="00F511B2">
      <w:pPr>
        <w:rPr>
          <w:rFonts w:ascii="Times New Roman" w:hAnsi="Times New Roman" w:cs="Times New Roman"/>
          <w:sz w:val="24"/>
          <w:szCs w:val="24"/>
        </w:rPr>
      </w:pPr>
      <w:r w:rsidRPr="009C718A">
        <w:rPr>
          <w:rFonts w:ascii="Times New Roman" w:hAnsi="Times New Roman" w:cs="Times New Roman"/>
          <w:sz w:val="24"/>
          <w:szCs w:val="24"/>
        </w:rPr>
        <w:t>The Biological Weapons Convention</w:t>
      </w:r>
      <w:r>
        <w:rPr>
          <w:rFonts w:ascii="Times New Roman" w:hAnsi="Times New Roman" w:cs="Times New Roman"/>
          <w:sz w:val="24"/>
          <w:szCs w:val="24"/>
        </w:rPr>
        <w:t>,</w:t>
      </w:r>
      <w:r w:rsidRPr="009C718A">
        <w:rPr>
          <w:rFonts w:ascii="Times New Roman" w:hAnsi="Times New Roman" w:cs="Times New Roman"/>
          <w:sz w:val="24"/>
          <w:szCs w:val="24"/>
        </w:rPr>
        <w:t xml:space="preserve"> established in 1975, is the principal international treaty addressing the use and prohibition of biological weapons. Despite its significance, there are concerns regarding the BWC's effectiveness in a changing landscape.</w:t>
      </w:r>
    </w:p>
    <w:p w14:paraId="2D50F02F" w14:textId="77777777" w:rsidR="00F511B2" w:rsidRDefault="00F511B2" w:rsidP="00F511B2">
      <w:pPr>
        <w:rPr>
          <w:rFonts w:ascii="Times New Roman" w:hAnsi="Times New Roman" w:cs="Times New Roman"/>
          <w:sz w:val="24"/>
          <w:szCs w:val="24"/>
        </w:rPr>
      </w:pPr>
      <w:r w:rsidRPr="0079593D">
        <w:rPr>
          <w:rFonts w:ascii="Times New Roman" w:hAnsi="Times New Roman" w:cs="Times New Roman"/>
          <w:sz w:val="24"/>
          <w:szCs w:val="24"/>
          <w:u w:val="single"/>
        </w:rPr>
        <w:t>Biological Threats:</w:t>
      </w:r>
      <w:r w:rsidRPr="0079593D">
        <w:rPr>
          <w:rFonts w:ascii="Times New Roman" w:hAnsi="Times New Roman" w:cs="Times New Roman"/>
          <w:sz w:val="24"/>
          <w:szCs w:val="24"/>
        </w:rPr>
        <w:t xml:space="preserve"> Biological agents, including pathogens, toxins, and genetic materials, can be misused for malicious purposes, posing a significant threat to global security and public health.</w:t>
      </w:r>
      <w:r>
        <w:rPr>
          <w:rFonts w:ascii="Times New Roman" w:hAnsi="Times New Roman" w:cs="Times New Roman"/>
          <w:sz w:val="24"/>
          <w:szCs w:val="24"/>
        </w:rPr>
        <w:t xml:space="preserve"> </w:t>
      </w:r>
      <w:r w:rsidRPr="0096038F">
        <w:rPr>
          <w:rFonts w:ascii="Times New Roman" w:hAnsi="Times New Roman" w:cs="Times New Roman"/>
          <w:sz w:val="24"/>
          <w:szCs w:val="24"/>
        </w:rPr>
        <w:t xml:space="preserve">The 2001 anthrax attacks in the United States are an example of </w:t>
      </w:r>
      <w:r w:rsidRPr="00700E04">
        <w:rPr>
          <w:rFonts w:ascii="Times New Roman" w:hAnsi="Times New Roman" w:cs="Times New Roman"/>
          <w:sz w:val="24"/>
          <w:szCs w:val="24"/>
        </w:rPr>
        <w:t>bioterrorism</w:t>
      </w:r>
      <w:r w:rsidRPr="0096038F">
        <w:rPr>
          <w:rFonts w:ascii="Times New Roman" w:hAnsi="Times New Roman" w:cs="Times New Roman"/>
          <w:sz w:val="24"/>
          <w:szCs w:val="24"/>
        </w:rPr>
        <w:t>. Letters containing anthrax spores were mailed to various locations, resulting in several deaths and illnesses.</w:t>
      </w:r>
    </w:p>
    <w:p w14:paraId="151B0388" w14:textId="77777777" w:rsidR="00F511B2" w:rsidRPr="0079593D" w:rsidRDefault="00F511B2" w:rsidP="00F511B2">
      <w:pPr>
        <w:rPr>
          <w:rFonts w:ascii="Times New Roman" w:hAnsi="Times New Roman" w:cs="Times New Roman"/>
          <w:sz w:val="24"/>
          <w:szCs w:val="24"/>
        </w:rPr>
      </w:pPr>
      <w:r w:rsidRPr="0012781F">
        <w:rPr>
          <w:rFonts w:ascii="Times New Roman" w:hAnsi="Times New Roman" w:cs="Times New Roman"/>
          <w:sz w:val="24"/>
          <w:szCs w:val="24"/>
        </w:rPr>
        <w:t xml:space="preserve">While laboratory accidents involving dangerous pathogens are relatively rare, they can have serious consequences. </w:t>
      </w:r>
      <w:r w:rsidRPr="00C20DE9">
        <w:rPr>
          <w:rFonts w:ascii="Times New Roman" w:hAnsi="Times New Roman" w:cs="Times New Roman"/>
          <w:sz w:val="24"/>
          <w:szCs w:val="24"/>
        </w:rPr>
        <w:t xml:space="preserve">In 2020, a laboratory accident at The Pirbright Institute in the United Kingdom resulted in the escape of live foot-and-mouth disease virus (FMDV). The incident was caused by human error, and the virus was released from a high-security containment facility. While no outbreak occurred </w:t>
      </w:r>
      <w:proofErr w:type="gramStart"/>
      <w:r w:rsidRPr="00C20DE9">
        <w:rPr>
          <w:rFonts w:ascii="Times New Roman" w:hAnsi="Times New Roman" w:cs="Times New Roman"/>
          <w:sz w:val="24"/>
          <w:szCs w:val="24"/>
        </w:rPr>
        <w:t>as a result of</w:t>
      </w:r>
      <w:proofErr w:type="gramEnd"/>
      <w:r w:rsidRPr="00C20DE9">
        <w:rPr>
          <w:rFonts w:ascii="Times New Roman" w:hAnsi="Times New Roman" w:cs="Times New Roman"/>
          <w:sz w:val="24"/>
          <w:szCs w:val="24"/>
        </w:rPr>
        <w:t xml:space="preserve"> this incident, it raised concerns about the potential consequences of such escapes, as FMDV can have devastating effects on livestock and agriculture. It underlines the critical importance of rigorous safety measures and biosecurity in laboratories handling dangerous pathogens like FMDV.</w:t>
      </w:r>
    </w:p>
    <w:p w14:paraId="234EC3F8" w14:textId="5AA2E079" w:rsidR="00F511B2" w:rsidRDefault="00F511B2" w:rsidP="00F511B2">
      <w:pPr>
        <w:rPr>
          <w:rFonts w:ascii="Times New Roman" w:hAnsi="Times New Roman" w:cs="Times New Roman"/>
          <w:sz w:val="24"/>
          <w:szCs w:val="24"/>
        </w:rPr>
      </w:pPr>
      <w:r w:rsidRPr="0079593D">
        <w:rPr>
          <w:rFonts w:ascii="Times New Roman" w:hAnsi="Times New Roman" w:cs="Times New Roman"/>
          <w:sz w:val="24"/>
          <w:szCs w:val="24"/>
          <w:u w:val="single"/>
        </w:rPr>
        <w:t>Dual-Use Research:</w:t>
      </w:r>
      <w:r w:rsidRPr="0079593D">
        <w:rPr>
          <w:rFonts w:ascii="Times New Roman" w:hAnsi="Times New Roman" w:cs="Times New Roman"/>
          <w:sz w:val="24"/>
          <w:szCs w:val="24"/>
        </w:rPr>
        <w:t xml:space="preserve"> The same research and technologies that hold promise for addressing public health issues can be exploited for harm, making the regulation of dual-use research a challenge.</w:t>
      </w:r>
      <w:r>
        <w:rPr>
          <w:rFonts w:ascii="Times New Roman" w:hAnsi="Times New Roman" w:cs="Times New Roman"/>
          <w:sz w:val="24"/>
          <w:szCs w:val="24"/>
        </w:rPr>
        <w:t xml:space="preserve"> An example of that can be the </w:t>
      </w:r>
      <w:r w:rsidRPr="00700E04">
        <w:rPr>
          <w:rFonts w:ascii="Times New Roman" w:hAnsi="Times New Roman" w:cs="Times New Roman"/>
          <w:sz w:val="24"/>
          <w:szCs w:val="24"/>
        </w:rPr>
        <w:t xml:space="preserve">CRISPR-Cas9, a powerful gene-editing tool, </w:t>
      </w:r>
      <w:r>
        <w:rPr>
          <w:rFonts w:ascii="Times New Roman" w:hAnsi="Times New Roman" w:cs="Times New Roman"/>
          <w:sz w:val="24"/>
          <w:szCs w:val="24"/>
        </w:rPr>
        <w:t xml:space="preserve">that </w:t>
      </w:r>
      <w:r w:rsidRPr="00700E04">
        <w:rPr>
          <w:rFonts w:ascii="Times New Roman" w:hAnsi="Times New Roman" w:cs="Times New Roman"/>
          <w:sz w:val="24"/>
          <w:szCs w:val="24"/>
        </w:rPr>
        <w:t>has dual-use potential for both curing genetic diseases and modifying pathogens for bioterrorism.</w:t>
      </w:r>
    </w:p>
    <w:p w14:paraId="1FC0C522" w14:textId="77777777" w:rsidR="00F511B2" w:rsidRPr="00F511B2" w:rsidRDefault="00F511B2" w:rsidP="00F511B2">
      <w:pPr>
        <w:rPr>
          <w:rFonts w:ascii="Times New Roman" w:hAnsi="Times New Roman" w:cs="Times New Roman"/>
          <w:b/>
          <w:bCs/>
          <w:sz w:val="24"/>
          <w:szCs w:val="24"/>
        </w:rPr>
      </w:pPr>
      <w:r w:rsidRPr="00F511B2">
        <w:rPr>
          <w:rFonts w:ascii="Times New Roman" w:hAnsi="Times New Roman" w:cs="Times New Roman"/>
          <w:b/>
          <w:bCs/>
          <w:sz w:val="24"/>
          <w:szCs w:val="24"/>
        </w:rPr>
        <w:t>Sources and further information:</w:t>
      </w:r>
    </w:p>
    <w:p w14:paraId="41575A21" w14:textId="77777777" w:rsidR="00F511B2" w:rsidRDefault="00000000" w:rsidP="00F511B2">
      <w:hyperlink r:id="rId8" w:anchor="tab=tab_1" w:history="1">
        <w:r w:rsidR="00F511B2">
          <w:rPr>
            <w:rStyle w:val="Hyperlink"/>
          </w:rPr>
          <w:t>International health regulations (who.int)</w:t>
        </w:r>
      </w:hyperlink>
    </w:p>
    <w:p w14:paraId="4F298758" w14:textId="77777777" w:rsidR="00F511B2" w:rsidRDefault="00000000" w:rsidP="00F511B2">
      <w:pPr>
        <w:rPr>
          <w:rFonts w:ascii="Times New Roman" w:hAnsi="Times New Roman" w:cs="Times New Roman"/>
          <w:sz w:val="24"/>
          <w:szCs w:val="24"/>
        </w:rPr>
      </w:pPr>
      <w:hyperlink r:id="rId9" w:history="1">
        <w:r w:rsidR="00F511B2">
          <w:rPr>
            <w:rStyle w:val="Hyperlink"/>
          </w:rPr>
          <w:t>Foot-and-mouth outbreak's parallels with Covid pandemic - BBC News</w:t>
        </w:r>
      </w:hyperlink>
    </w:p>
    <w:p w14:paraId="073A0F44" w14:textId="77777777" w:rsidR="00F511B2" w:rsidRDefault="00000000" w:rsidP="00F511B2">
      <w:hyperlink r:id="rId10" w:history="1">
        <w:r w:rsidR="00F511B2">
          <w:rPr>
            <w:rStyle w:val="Hyperlink"/>
          </w:rPr>
          <w:t>Biological Weapons Convention – UNODA</w:t>
        </w:r>
      </w:hyperlink>
    </w:p>
    <w:p w14:paraId="59686471" w14:textId="77777777" w:rsidR="00F511B2" w:rsidRDefault="00000000" w:rsidP="00F511B2">
      <w:pPr>
        <w:rPr>
          <w:rStyle w:val="Hyperlink"/>
        </w:rPr>
      </w:pPr>
      <w:hyperlink r:id="rId11" w:history="1">
        <w:r w:rsidR="00F511B2">
          <w:rPr>
            <w:rStyle w:val="Hyperlink"/>
          </w:rPr>
          <w:t>Anthrax Fast Facts | CNN</w:t>
        </w:r>
      </w:hyperlink>
    </w:p>
    <w:p w14:paraId="55EB0775" w14:textId="51303E27" w:rsidR="00070A98" w:rsidRDefault="00000000" w:rsidP="00F511B2">
      <w:hyperlink r:id="rId12" w:history="1">
        <w:r w:rsidR="00070A98">
          <w:rPr>
            <w:rStyle w:val="Hyperlink"/>
          </w:rPr>
          <w:t xml:space="preserve">Biosecurity: An Integral Part </w:t>
        </w:r>
        <w:proofErr w:type="gramStart"/>
        <w:r w:rsidR="00070A98">
          <w:rPr>
            <w:rStyle w:val="Hyperlink"/>
          </w:rPr>
          <w:t>In</w:t>
        </w:r>
        <w:proofErr w:type="gramEnd"/>
        <w:r w:rsidR="00070A98">
          <w:rPr>
            <w:rStyle w:val="Hyperlink"/>
          </w:rPr>
          <w:t xml:space="preserve"> Safeguarding The Nation - Minister (newtelegraphng.com)</w:t>
        </w:r>
      </w:hyperlink>
    </w:p>
    <w:p w14:paraId="76825A56" w14:textId="087AAD97" w:rsidR="00F535B3" w:rsidRDefault="00F535B3" w:rsidP="004C04B3">
      <w:pPr>
        <w:rPr>
          <w:rFonts w:ascii="Times New Roman" w:hAnsi="Times New Roman" w:cs="Times New Roman"/>
          <w:sz w:val="24"/>
          <w:szCs w:val="24"/>
        </w:rPr>
      </w:pPr>
    </w:p>
    <w:sectPr w:rsidR="00F535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60BC" w14:textId="77777777" w:rsidR="00847219" w:rsidRDefault="00847219" w:rsidP="007C2453">
      <w:pPr>
        <w:spacing w:after="0" w:line="240" w:lineRule="auto"/>
      </w:pPr>
      <w:r>
        <w:separator/>
      </w:r>
    </w:p>
  </w:endnote>
  <w:endnote w:type="continuationSeparator" w:id="0">
    <w:p w14:paraId="4628C0B3" w14:textId="77777777" w:rsidR="00847219" w:rsidRDefault="00847219" w:rsidP="007C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A5C3" w14:textId="77777777" w:rsidR="00847219" w:rsidRDefault="00847219" w:rsidP="007C2453">
      <w:pPr>
        <w:spacing w:after="0" w:line="240" w:lineRule="auto"/>
      </w:pPr>
      <w:r>
        <w:separator/>
      </w:r>
    </w:p>
  </w:footnote>
  <w:footnote w:type="continuationSeparator" w:id="0">
    <w:p w14:paraId="07D82EE2" w14:textId="77777777" w:rsidR="00847219" w:rsidRDefault="00847219" w:rsidP="007C2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06456"/>
    <w:multiLevelType w:val="multilevel"/>
    <w:tmpl w:val="F0DE0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04290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C6"/>
    <w:rsid w:val="000133A9"/>
    <w:rsid w:val="000276FF"/>
    <w:rsid w:val="00042E63"/>
    <w:rsid w:val="00047D23"/>
    <w:rsid w:val="00054929"/>
    <w:rsid w:val="0006621D"/>
    <w:rsid w:val="00070A98"/>
    <w:rsid w:val="0012781F"/>
    <w:rsid w:val="00177E84"/>
    <w:rsid w:val="001D19D1"/>
    <w:rsid w:val="001E17E5"/>
    <w:rsid w:val="00230401"/>
    <w:rsid w:val="00234DA2"/>
    <w:rsid w:val="00280714"/>
    <w:rsid w:val="002941BA"/>
    <w:rsid w:val="003524B9"/>
    <w:rsid w:val="003837AC"/>
    <w:rsid w:val="003D7C2A"/>
    <w:rsid w:val="00421C56"/>
    <w:rsid w:val="004C04B3"/>
    <w:rsid w:val="004E19F7"/>
    <w:rsid w:val="004E247C"/>
    <w:rsid w:val="00515F8E"/>
    <w:rsid w:val="005178D2"/>
    <w:rsid w:val="00577127"/>
    <w:rsid w:val="005D09E7"/>
    <w:rsid w:val="0060013B"/>
    <w:rsid w:val="00607A51"/>
    <w:rsid w:val="0063158D"/>
    <w:rsid w:val="00652F7B"/>
    <w:rsid w:val="006864A1"/>
    <w:rsid w:val="006E2FED"/>
    <w:rsid w:val="00700E04"/>
    <w:rsid w:val="00736F75"/>
    <w:rsid w:val="00760BE2"/>
    <w:rsid w:val="0079593D"/>
    <w:rsid w:val="007C2453"/>
    <w:rsid w:val="007E32EC"/>
    <w:rsid w:val="0081286D"/>
    <w:rsid w:val="00847219"/>
    <w:rsid w:val="00852CB7"/>
    <w:rsid w:val="008E56AF"/>
    <w:rsid w:val="0096038F"/>
    <w:rsid w:val="009A532D"/>
    <w:rsid w:val="009C718A"/>
    <w:rsid w:val="00A20D9D"/>
    <w:rsid w:val="00A61306"/>
    <w:rsid w:val="00A95612"/>
    <w:rsid w:val="00AA3718"/>
    <w:rsid w:val="00AE0565"/>
    <w:rsid w:val="00AF70ED"/>
    <w:rsid w:val="00B50DB0"/>
    <w:rsid w:val="00B550CC"/>
    <w:rsid w:val="00B6123F"/>
    <w:rsid w:val="00BC00AB"/>
    <w:rsid w:val="00BE459A"/>
    <w:rsid w:val="00C051A6"/>
    <w:rsid w:val="00C20DE9"/>
    <w:rsid w:val="00C22220"/>
    <w:rsid w:val="00C26C99"/>
    <w:rsid w:val="00C61AD1"/>
    <w:rsid w:val="00C747B2"/>
    <w:rsid w:val="00C96799"/>
    <w:rsid w:val="00CB6FC6"/>
    <w:rsid w:val="00D46DB2"/>
    <w:rsid w:val="00D4720A"/>
    <w:rsid w:val="00D5276E"/>
    <w:rsid w:val="00DF0038"/>
    <w:rsid w:val="00E31332"/>
    <w:rsid w:val="00E526BA"/>
    <w:rsid w:val="00EA6010"/>
    <w:rsid w:val="00EF3630"/>
    <w:rsid w:val="00F25FF9"/>
    <w:rsid w:val="00F30F3F"/>
    <w:rsid w:val="00F41E30"/>
    <w:rsid w:val="00F511B2"/>
    <w:rsid w:val="00F535B3"/>
    <w:rsid w:val="00FD7D0C"/>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2C9B9"/>
  <w15:chartTrackingRefBased/>
  <w15:docId w15:val="{EDD1DC2C-F47D-486E-9F73-A0560B4C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E19F7"/>
    <w:pPr>
      <w:spacing w:after="0" w:line="240" w:lineRule="auto"/>
    </w:pPr>
    <w:rPr>
      <w:rFonts w:ascii="Calibri" w:hAnsi="Calibri" w:cs="Calibri"/>
      <w:kern w:val="0"/>
      <w:lang w:eastAsia="en-GB"/>
      <w14:ligatures w14:val="none"/>
    </w:rPr>
  </w:style>
  <w:style w:type="paragraph" w:styleId="NormalWeb">
    <w:name w:val="Normal (Web)"/>
    <w:basedOn w:val="Normal"/>
    <w:uiPriority w:val="99"/>
    <w:semiHidden/>
    <w:unhideWhenUsed/>
    <w:rsid w:val="00852CB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7C2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453"/>
  </w:style>
  <w:style w:type="paragraph" w:styleId="Footer">
    <w:name w:val="footer"/>
    <w:basedOn w:val="Normal"/>
    <w:link w:val="FooterChar"/>
    <w:uiPriority w:val="99"/>
    <w:unhideWhenUsed/>
    <w:rsid w:val="007C2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453"/>
  </w:style>
  <w:style w:type="character" w:styleId="Hyperlink">
    <w:name w:val="Hyperlink"/>
    <w:basedOn w:val="DefaultParagraphFont"/>
    <w:uiPriority w:val="99"/>
    <w:semiHidden/>
    <w:unhideWhenUsed/>
    <w:rsid w:val="00F41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1">
      <w:bodyDiv w:val="1"/>
      <w:marLeft w:val="0"/>
      <w:marRight w:val="0"/>
      <w:marTop w:val="0"/>
      <w:marBottom w:val="0"/>
      <w:divBdr>
        <w:top w:val="none" w:sz="0" w:space="0" w:color="auto"/>
        <w:left w:val="none" w:sz="0" w:space="0" w:color="auto"/>
        <w:bottom w:val="none" w:sz="0" w:space="0" w:color="auto"/>
        <w:right w:val="none" w:sz="0" w:space="0" w:color="auto"/>
      </w:divBdr>
    </w:div>
    <w:div w:id="417483646">
      <w:bodyDiv w:val="1"/>
      <w:marLeft w:val="0"/>
      <w:marRight w:val="0"/>
      <w:marTop w:val="0"/>
      <w:marBottom w:val="0"/>
      <w:divBdr>
        <w:top w:val="none" w:sz="0" w:space="0" w:color="auto"/>
        <w:left w:val="none" w:sz="0" w:space="0" w:color="auto"/>
        <w:bottom w:val="none" w:sz="0" w:space="0" w:color="auto"/>
        <w:right w:val="none" w:sz="0" w:space="0" w:color="auto"/>
      </w:divBdr>
    </w:div>
    <w:div w:id="563415215">
      <w:bodyDiv w:val="1"/>
      <w:marLeft w:val="0"/>
      <w:marRight w:val="0"/>
      <w:marTop w:val="0"/>
      <w:marBottom w:val="0"/>
      <w:divBdr>
        <w:top w:val="none" w:sz="0" w:space="0" w:color="auto"/>
        <w:left w:val="none" w:sz="0" w:space="0" w:color="auto"/>
        <w:bottom w:val="none" w:sz="0" w:space="0" w:color="auto"/>
        <w:right w:val="none" w:sz="0" w:space="0" w:color="auto"/>
      </w:divBdr>
    </w:div>
    <w:div w:id="1104572741">
      <w:bodyDiv w:val="1"/>
      <w:marLeft w:val="0"/>
      <w:marRight w:val="0"/>
      <w:marTop w:val="0"/>
      <w:marBottom w:val="0"/>
      <w:divBdr>
        <w:top w:val="none" w:sz="0" w:space="0" w:color="auto"/>
        <w:left w:val="none" w:sz="0" w:space="0" w:color="auto"/>
        <w:bottom w:val="none" w:sz="0" w:space="0" w:color="auto"/>
        <w:right w:val="none" w:sz="0" w:space="0" w:color="auto"/>
      </w:divBdr>
    </w:div>
    <w:div w:id="1451319016">
      <w:bodyDiv w:val="1"/>
      <w:marLeft w:val="0"/>
      <w:marRight w:val="0"/>
      <w:marTop w:val="0"/>
      <w:marBottom w:val="0"/>
      <w:divBdr>
        <w:top w:val="none" w:sz="0" w:space="0" w:color="auto"/>
        <w:left w:val="none" w:sz="0" w:space="0" w:color="auto"/>
        <w:bottom w:val="none" w:sz="0" w:space="0" w:color="auto"/>
        <w:right w:val="none" w:sz="0" w:space="0" w:color="auto"/>
      </w:divBdr>
    </w:div>
    <w:div w:id="1460418573">
      <w:bodyDiv w:val="1"/>
      <w:marLeft w:val="0"/>
      <w:marRight w:val="0"/>
      <w:marTop w:val="0"/>
      <w:marBottom w:val="0"/>
      <w:divBdr>
        <w:top w:val="none" w:sz="0" w:space="0" w:color="auto"/>
        <w:left w:val="none" w:sz="0" w:space="0" w:color="auto"/>
        <w:bottom w:val="none" w:sz="0" w:space="0" w:color="auto"/>
        <w:right w:val="none" w:sz="0" w:space="0" w:color="auto"/>
      </w:divBdr>
    </w:div>
    <w:div w:id="14650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international-health-regul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ewtelegraphng.com/biosecurity-an-integral-part-in-safeguarding-the-nation-min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ition.cnn.com/2013/08/23/health/anthrax-fast-facts/index.html" TargetMode="External"/><Relationship Id="rId5" Type="http://schemas.openxmlformats.org/officeDocument/2006/relationships/footnotes" Target="footnotes.xml"/><Relationship Id="rId10" Type="http://schemas.openxmlformats.org/officeDocument/2006/relationships/hyperlink" Target="https://disarmament.unoda.org/biological-weapons/" TargetMode="External"/><Relationship Id="rId4" Type="http://schemas.openxmlformats.org/officeDocument/2006/relationships/webSettings" Target="webSettings.xml"/><Relationship Id="rId9" Type="http://schemas.openxmlformats.org/officeDocument/2006/relationships/hyperlink" Target="https://www.bbc.co.uk/news/uk-england-cumbria-559816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*GRESZCZUK, Antonina (Rhetoric)</dc:creator>
  <cp:keywords/>
  <dc:description/>
  <cp:lastModifiedBy>KIRKBY, Mrs Deborah</cp:lastModifiedBy>
  <cp:revision>3</cp:revision>
  <dcterms:created xsi:type="dcterms:W3CDTF">2023-11-16T13:32:00Z</dcterms:created>
  <dcterms:modified xsi:type="dcterms:W3CDTF">2023-11-16T14:58:00Z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69ec1ed4-fdb3-4b03-8591-9ae43585c494</vt:lpwstr>
  </property>
</Properties>
</file>